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A" w:rsidRPr="00BA39AA" w:rsidRDefault="00BA39AA" w:rsidP="00BA39AA">
      <w:pPr>
        <w:pStyle w:val="NormalWeb"/>
        <w:spacing w:before="0" w:beforeAutospacing="0" w:after="0" w:afterAutospacing="0"/>
        <w:ind w:left="547" w:hanging="547"/>
        <w:jc w:val="center"/>
        <w:rPr>
          <w:b/>
        </w:rPr>
      </w:pPr>
      <w:bookmarkStart w:id="0" w:name="_GoBack"/>
      <w:bookmarkEnd w:id="0"/>
      <w:r w:rsidRPr="00BA39AA">
        <w:rPr>
          <w:b/>
        </w:rPr>
        <w:t>Resources on Differentiation</w:t>
      </w:r>
      <w:r w:rsidR="0053636F">
        <w:rPr>
          <w:b/>
        </w:rPr>
        <w:t xml:space="preserve"> and Universal Design for Learning</w:t>
      </w:r>
    </w:p>
    <w:p w:rsidR="00BA39AA" w:rsidRPr="00C72968" w:rsidRDefault="00BA39A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</w:p>
    <w:p w:rsidR="00336C6A" w:rsidRPr="00336C6A" w:rsidRDefault="00336C6A" w:rsidP="00C72968">
      <w:pPr>
        <w:pStyle w:val="NormalWeb"/>
        <w:spacing w:before="0" w:beforeAutospacing="0" w:after="0" w:afterAutospacing="0"/>
        <w:ind w:left="547" w:hanging="547"/>
        <w:rPr>
          <w:b/>
          <w:sz w:val="22"/>
          <w:szCs w:val="22"/>
          <w:u w:val="single"/>
        </w:rPr>
      </w:pPr>
      <w:r w:rsidRPr="00336C6A">
        <w:rPr>
          <w:b/>
          <w:sz w:val="22"/>
          <w:szCs w:val="22"/>
          <w:u w:val="single"/>
        </w:rPr>
        <w:t>Websites</w:t>
      </w:r>
      <w:r w:rsidR="0031130B">
        <w:rPr>
          <w:b/>
          <w:sz w:val="22"/>
          <w:szCs w:val="22"/>
          <w:u w:val="single"/>
        </w:rPr>
        <w:t xml:space="preserve"> &amp; Multimedia</w:t>
      </w:r>
    </w:p>
    <w:p w:rsidR="00C54BD5" w:rsidRDefault="00C54BD5" w:rsidP="00C54BD5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Center for Applied Special Education Technology. </w:t>
      </w:r>
      <w:hyperlink r:id="rId6" w:history="1">
        <w:r w:rsidRPr="004118C1">
          <w:rPr>
            <w:rStyle w:val="Hyperlink"/>
            <w:sz w:val="22"/>
            <w:szCs w:val="22"/>
          </w:rPr>
          <w:t>http://cast.org/index.html</w:t>
        </w:r>
      </w:hyperlink>
    </w:p>
    <w:p w:rsidR="00C54BD5" w:rsidRDefault="00C54BD5" w:rsidP="00C54BD5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Minnesota </w:t>
      </w:r>
      <w:r w:rsidRPr="00AC02DD">
        <w:rPr>
          <w:sz w:val="22"/>
          <w:szCs w:val="22"/>
        </w:rPr>
        <w:t>Manual of Accommodations</w:t>
      </w:r>
      <w:r>
        <w:rPr>
          <w:sz w:val="22"/>
          <w:szCs w:val="22"/>
        </w:rPr>
        <w:t xml:space="preserve"> </w:t>
      </w:r>
      <w:hyperlink r:id="rId7" w:history="1">
        <w:r w:rsidRPr="00AC02DD">
          <w:rPr>
            <w:rStyle w:val="Hyperlink"/>
            <w:sz w:val="22"/>
            <w:szCs w:val="22"/>
          </w:rPr>
          <w:t>http://www.cehd.umn.edu/nceo/OnlinePubs/MNmanuals/MNmanual.pdf</w:t>
        </w:r>
      </w:hyperlink>
    </w:p>
    <w:p w:rsidR="00336C6A" w:rsidRDefault="00336C6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National Center on Universal Design for Learning. </w:t>
      </w:r>
      <w:hyperlink r:id="rId8" w:history="1">
        <w:r w:rsidRPr="004118C1">
          <w:rPr>
            <w:rStyle w:val="Hyperlink"/>
            <w:sz w:val="22"/>
            <w:szCs w:val="22"/>
          </w:rPr>
          <w:t>http://www.udlcenter.org/</w:t>
        </w:r>
      </w:hyperlink>
    </w:p>
    <w:p w:rsidR="00336C6A" w:rsidRDefault="00336C6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National Center on Accessible Instructional Materials. </w:t>
      </w:r>
      <w:hyperlink r:id="rId9" w:history="1">
        <w:r w:rsidRPr="004118C1">
          <w:rPr>
            <w:rStyle w:val="Hyperlink"/>
            <w:sz w:val="22"/>
            <w:szCs w:val="22"/>
          </w:rPr>
          <w:t>http://aim.cast.org/</w:t>
        </w:r>
      </w:hyperlink>
    </w:p>
    <w:p w:rsidR="00C54BD5" w:rsidRDefault="00C54BD5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AC02DD">
        <w:rPr>
          <w:sz w:val="22"/>
          <w:szCs w:val="22"/>
        </w:rPr>
        <w:t>NCEO’s Improving Accommodations Outcomes</w:t>
      </w:r>
      <w:r>
        <w:t xml:space="preserve"> (National Center on Educational Outcomes) </w:t>
      </w:r>
      <w:hyperlink r:id="rId10" w:history="1">
        <w:r w:rsidRPr="00AC02DD">
          <w:rPr>
            <w:rStyle w:val="Hyperlink"/>
            <w:sz w:val="22"/>
            <w:szCs w:val="22"/>
          </w:rPr>
          <w:t>http://www.cehd.umn.edu/NCEO/OnlinePubs/AccommodationsMonitoring.pdf</w:t>
        </w:r>
      </w:hyperlink>
    </w:p>
    <w:p w:rsidR="00EF2E50" w:rsidRDefault="00EF2E50" w:rsidP="00C54BD5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>Procedure Manual for Minnesota Assessments.</w:t>
      </w:r>
    </w:p>
    <w:p w:rsidR="00EF2E50" w:rsidRDefault="00EF2E50" w:rsidP="00C54BD5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Pr="00610D72">
          <w:rPr>
            <w:rStyle w:val="Hyperlink"/>
            <w:sz w:val="22"/>
            <w:szCs w:val="22"/>
          </w:rPr>
          <w:t>http://education.state.mn.us/mdeprod/groups/Assessment/documents/Manual/035664.pdf</w:t>
        </w:r>
      </w:hyperlink>
    </w:p>
    <w:p w:rsidR="00C54BD5" w:rsidRPr="00C54BD5" w:rsidRDefault="00C54BD5" w:rsidP="00C54BD5">
      <w:pPr>
        <w:pStyle w:val="NormalWeb"/>
        <w:spacing w:before="0" w:beforeAutospacing="0" w:after="0" w:afterAutospacing="0"/>
        <w:ind w:left="547" w:hanging="547"/>
      </w:pPr>
      <w:r>
        <w:rPr>
          <w:sz w:val="22"/>
          <w:szCs w:val="22"/>
        </w:rPr>
        <w:t xml:space="preserve">Resources for teachers from the AIM website. </w:t>
      </w:r>
      <w:hyperlink r:id="rId12" w:history="1">
        <w:r w:rsidRPr="004118C1">
          <w:rPr>
            <w:rStyle w:val="Hyperlink"/>
            <w:sz w:val="22"/>
            <w:szCs w:val="22"/>
          </w:rPr>
          <w:t>http://aim.cast.org/learn/stakeholder_focused/teachers</w:t>
        </w:r>
      </w:hyperlink>
    </w:p>
    <w:p w:rsidR="00C54BD5" w:rsidRDefault="00C54BD5" w:rsidP="00C54BD5">
      <w:pPr>
        <w:tabs>
          <w:tab w:val="left" w:pos="6750"/>
        </w:tabs>
        <w:ind w:left="547" w:right="-18" w:hanging="547"/>
        <w:rPr>
          <w:sz w:val="22"/>
          <w:szCs w:val="22"/>
        </w:rPr>
      </w:pPr>
      <w:r>
        <w:rPr>
          <w:sz w:val="22"/>
          <w:szCs w:val="22"/>
        </w:rPr>
        <w:t>Tomlinson, C.A. (2008). Differentiated Instruction in Action (video DVD series). Alexandria, VA: ASCD (Association for Supervision and Curriculum Development).</w:t>
      </w:r>
    </w:p>
    <w:p w:rsidR="002E169D" w:rsidRDefault="002E169D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>
        <w:rPr>
          <w:sz w:val="22"/>
          <w:szCs w:val="22"/>
        </w:rPr>
        <w:t xml:space="preserve">UDL Guidelines Graphic Organizer. </w:t>
      </w:r>
      <w:hyperlink r:id="rId13" w:history="1">
        <w:r w:rsidRPr="004118C1">
          <w:rPr>
            <w:rStyle w:val="Hyperlink"/>
            <w:sz w:val="22"/>
            <w:szCs w:val="22"/>
          </w:rPr>
          <w:t>http://www.udlcenter.org/sites/udlcenter.org/files/updateguidelines2_0.pdf</w:t>
        </w:r>
      </w:hyperlink>
    </w:p>
    <w:p w:rsidR="00336C6A" w:rsidRDefault="00DA7480" w:rsidP="00C54BD5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UDL Quick Tips (for higher education faculty</w:t>
      </w:r>
      <w:r w:rsidRPr="00DA7480">
        <w:rPr>
          <w:sz w:val="22"/>
          <w:szCs w:val="22"/>
        </w:rPr>
        <w:t xml:space="preserve">). </w:t>
      </w:r>
      <w:hyperlink r:id="rId14" w:history="1">
        <w:r w:rsidR="00E02256" w:rsidRPr="00610D72">
          <w:rPr>
            <w:rStyle w:val="Hyperlink"/>
            <w:rFonts w:eastAsiaTheme="minorHAnsi"/>
            <w:sz w:val="22"/>
            <w:szCs w:val="22"/>
          </w:rPr>
          <w:t>http://accessproject.colostate.edu/documents/</w:t>
        </w:r>
      </w:hyperlink>
    </w:p>
    <w:p w:rsidR="00DA7480" w:rsidRDefault="00DA7480" w:rsidP="0031130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336C6A" w:rsidRPr="00336C6A" w:rsidRDefault="00BD0EEF" w:rsidP="0031130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Articles and Books</w:t>
      </w:r>
    </w:p>
    <w:p w:rsidR="00BA39AA" w:rsidRPr="00C72968" w:rsidRDefault="00BA39A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Bender, W. (2002). </w:t>
      </w:r>
      <w:r w:rsidRPr="00C72968">
        <w:rPr>
          <w:i/>
          <w:iCs/>
          <w:sz w:val="22"/>
          <w:szCs w:val="22"/>
        </w:rPr>
        <w:t>Differentiating instruction for students with learning disabilities: Best teaching practices for general and special education.</w:t>
      </w:r>
      <w:r w:rsidRPr="00C72968">
        <w:rPr>
          <w:sz w:val="22"/>
          <w:szCs w:val="22"/>
        </w:rPr>
        <w:t xml:space="preserve"> Thousand Oaks, CA: Corwin Press.</w:t>
      </w:r>
    </w:p>
    <w:p w:rsidR="00A71727" w:rsidRDefault="00C72968" w:rsidP="00A71727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Bulgren, J., Deshler, D.D., &amp; Lenz, B.K. (2007). Engaging adolescents with LD in higher order thinking about history concepts using integrated content enhancement routines. </w:t>
      </w:r>
      <w:r w:rsidRPr="00C72968">
        <w:rPr>
          <w:i/>
          <w:sz w:val="22"/>
          <w:szCs w:val="22"/>
        </w:rPr>
        <w:t xml:space="preserve">Journal of Learning Disabilities, 40 </w:t>
      </w:r>
      <w:r w:rsidRPr="00C72968">
        <w:rPr>
          <w:sz w:val="22"/>
          <w:szCs w:val="22"/>
        </w:rPr>
        <w:t xml:space="preserve">(2), 121-133. </w:t>
      </w:r>
      <w:r w:rsidR="0031130B">
        <w:rPr>
          <w:sz w:val="22"/>
          <w:szCs w:val="22"/>
        </w:rPr>
        <w:t xml:space="preserve"> </w:t>
      </w:r>
    </w:p>
    <w:p w:rsidR="00A71727" w:rsidRPr="00A71727" w:rsidRDefault="00A71727" w:rsidP="00A71727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A71727">
        <w:rPr>
          <w:bCs/>
          <w:sz w:val="22"/>
          <w:szCs w:val="22"/>
        </w:rPr>
        <w:t xml:space="preserve">Burgstahler, S.E. &amp; Cory, R.C. (2008). </w:t>
      </w:r>
      <w:r w:rsidRPr="00A71727">
        <w:rPr>
          <w:bCs/>
          <w:i/>
          <w:sz w:val="22"/>
          <w:szCs w:val="22"/>
        </w:rPr>
        <w:t>Universal design in higher education</w:t>
      </w:r>
      <w:r>
        <w:rPr>
          <w:bCs/>
          <w:i/>
          <w:sz w:val="22"/>
          <w:szCs w:val="22"/>
        </w:rPr>
        <w:t>:</w:t>
      </w:r>
      <w:r w:rsidRPr="00A71727">
        <w:rPr>
          <w:bCs/>
          <w:i/>
          <w:sz w:val="22"/>
          <w:szCs w:val="22"/>
        </w:rPr>
        <w:t xml:space="preserve"> </w:t>
      </w:r>
      <w:r w:rsidRPr="00A71727">
        <w:rPr>
          <w:bCs/>
          <w:i/>
          <w:iCs/>
          <w:sz w:val="22"/>
          <w:szCs w:val="22"/>
        </w:rPr>
        <w:t>From</w:t>
      </w:r>
      <w:r>
        <w:rPr>
          <w:bCs/>
          <w:i/>
          <w:iCs/>
          <w:sz w:val="22"/>
          <w:szCs w:val="22"/>
        </w:rPr>
        <w:t xml:space="preserve"> principles to p</w:t>
      </w:r>
      <w:r w:rsidRPr="00A71727">
        <w:rPr>
          <w:bCs/>
          <w:i/>
          <w:iCs/>
          <w:sz w:val="22"/>
          <w:szCs w:val="22"/>
        </w:rPr>
        <w:t>ractice</w:t>
      </w:r>
      <w:r w:rsidR="00AC02DD">
        <w:rPr>
          <w:bCs/>
          <w:sz w:val="22"/>
          <w:szCs w:val="22"/>
        </w:rPr>
        <w:t xml:space="preserve">. </w:t>
      </w:r>
      <w:r w:rsidRPr="00A71727">
        <w:rPr>
          <w:bCs/>
          <w:sz w:val="22"/>
          <w:szCs w:val="22"/>
        </w:rPr>
        <w:t xml:space="preserve">Boston: </w:t>
      </w:r>
      <w:r>
        <w:rPr>
          <w:bCs/>
          <w:sz w:val="22"/>
          <w:szCs w:val="22"/>
        </w:rPr>
        <w:t>Harvard Education</w:t>
      </w:r>
      <w:r w:rsidRPr="00A71727">
        <w:rPr>
          <w:bCs/>
          <w:sz w:val="22"/>
          <w:szCs w:val="22"/>
        </w:rPr>
        <w:t xml:space="preserve"> Press.</w:t>
      </w:r>
    </w:p>
    <w:p w:rsidR="00BA39AA" w:rsidRPr="00C72968" w:rsidRDefault="00BA39A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Ferretti, R., MacArthur, C., &amp; Okolo, C. (2001). Teaching for Historical Understanding in Inclusive Classrooms. </w:t>
      </w:r>
      <w:r w:rsidRPr="00C72968">
        <w:rPr>
          <w:i/>
          <w:sz w:val="22"/>
          <w:szCs w:val="22"/>
        </w:rPr>
        <w:t>Learning Disability Quarterly, 24</w:t>
      </w:r>
      <w:r w:rsidRPr="00C72968">
        <w:rPr>
          <w:sz w:val="22"/>
          <w:szCs w:val="22"/>
        </w:rPr>
        <w:t xml:space="preserve">(1),59. </w:t>
      </w:r>
      <w:r w:rsidR="0031130B">
        <w:rPr>
          <w:sz w:val="22"/>
          <w:szCs w:val="22"/>
        </w:rPr>
        <w:t xml:space="preserve">  </w:t>
      </w:r>
    </w:p>
    <w:p w:rsidR="00BA39AA" w:rsidRPr="00C72968" w:rsidRDefault="00BA39AA" w:rsidP="00C72968">
      <w:pPr>
        <w:pStyle w:val="Footnote"/>
        <w:spacing w:before="0" w:beforeAutospacing="0" w:after="0" w:afterAutospacing="0"/>
        <w:ind w:left="547" w:hanging="547"/>
        <w:rPr>
          <w:rFonts w:ascii="Times New Roman" w:hAnsi="Times New Roman" w:cs="Times New Roman"/>
          <w:sz w:val="22"/>
          <w:szCs w:val="22"/>
        </w:rPr>
      </w:pPr>
      <w:r w:rsidRPr="00C72968">
        <w:rPr>
          <w:rFonts w:ascii="Times New Roman" w:hAnsi="Times New Roman" w:cs="Times New Roman"/>
          <w:sz w:val="22"/>
          <w:szCs w:val="22"/>
        </w:rPr>
        <w:t xml:space="preserve">Morroco, C. (2001). Teaching for understanding with students with disabilities: New directions for research on access to the general education curriculum. </w:t>
      </w:r>
      <w:r w:rsidRPr="00C72968">
        <w:rPr>
          <w:rFonts w:ascii="Times New Roman" w:hAnsi="Times New Roman" w:cs="Times New Roman"/>
          <w:i/>
          <w:sz w:val="22"/>
          <w:szCs w:val="22"/>
        </w:rPr>
        <w:t>Learning Disability Quarterly, 24</w:t>
      </w:r>
      <w:r w:rsidRPr="00C72968">
        <w:rPr>
          <w:rFonts w:ascii="Times New Roman" w:hAnsi="Times New Roman" w:cs="Times New Roman"/>
          <w:sz w:val="22"/>
          <w:szCs w:val="22"/>
        </w:rPr>
        <w:t xml:space="preserve">(1), 5. Special issue on teaching for understanding. </w:t>
      </w:r>
      <w:r w:rsidR="003113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39AA" w:rsidRPr="00C72968" w:rsidRDefault="00BA39AA" w:rsidP="00C72968">
      <w:pPr>
        <w:pStyle w:val="Footnote"/>
        <w:spacing w:before="0" w:beforeAutospacing="0" w:after="0" w:afterAutospacing="0"/>
        <w:ind w:left="547" w:hanging="547"/>
        <w:rPr>
          <w:rFonts w:ascii="Times New Roman" w:hAnsi="Times New Roman" w:cs="Times New Roman"/>
          <w:color w:val="212063"/>
          <w:sz w:val="22"/>
          <w:szCs w:val="22"/>
        </w:rPr>
      </w:pPr>
      <w:r w:rsidRPr="00C72968">
        <w:rPr>
          <w:rFonts w:ascii="Times New Roman" w:hAnsi="Times New Roman" w:cs="Times New Roman"/>
          <w:sz w:val="22"/>
          <w:szCs w:val="22"/>
        </w:rPr>
        <w:t xml:space="preserve">Morocco, C., Hindin, A., Mata-Aguilar, C., &amp; Clark-Chiarelli, N. (2001). Building a deep understanding of literature with middle-grade students with learning disabilities.  </w:t>
      </w:r>
      <w:r w:rsidRPr="00C72968">
        <w:rPr>
          <w:rFonts w:ascii="Times New Roman" w:hAnsi="Times New Roman" w:cs="Times New Roman"/>
          <w:i/>
          <w:color w:val="212063"/>
          <w:sz w:val="22"/>
          <w:szCs w:val="22"/>
        </w:rPr>
        <w:t>Learning Disability Quarterly, 24</w:t>
      </w:r>
      <w:r w:rsidRPr="00C72968">
        <w:rPr>
          <w:rFonts w:ascii="Times New Roman" w:hAnsi="Times New Roman" w:cs="Times New Roman"/>
          <w:color w:val="212063"/>
          <w:sz w:val="22"/>
          <w:szCs w:val="22"/>
        </w:rPr>
        <w:t xml:space="preserve">(1), 5. Special issue on teaching for understanding. </w:t>
      </w:r>
      <w:r w:rsidR="0031130B">
        <w:rPr>
          <w:rFonts w:ascii="Times New Roman" w:hAnsi="Times New Roman" w:cs="Times New Roman"/>
          <w:color w:val="212063"/>
          <w:sz w:val="22"/>
          <w:szCs w:val="22"/>
        </w:rPr>
        <w:t xml:space="preserve"> </w:t>
      </w:r>
    </w:p>
    <w:p w:rsidR="00BA39AA" w:rsidRPr="00C72968" w:rsidRDefault="00BA39A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C72968">
        <w:rPr>
          <w:bCs/>
          <w:sz w:val="22"/>
          <w:szCs w:val="22"/>
        </w:rPr>
        <w:t>Nunley, K. F. (2005).</w:t>
      </w:r>
      <w:r w:rsidRPr="00C72968">
        <w:rPr>
          <w:b/>
          <w:bCs/>
          <w:i/>
          <w:iCs/>
          <w:sz w:val="22"/>
          <w:szCs w:val="22"/>
        </w:rPr>
        <w:t xml:space="preserve"> </w:t>
      </w:r>
      <w:r w:rsidRPr="00C72968">
        <w:rPr>
          <w:i/>
          <w:iCs/>
          <w:sz w:val="22"/>
          <w:szCs w:val="22"/>
        </w:rPr>
        <w:t>Differentiating the high school classroom: Solution strategies for 18 common obstacles</w:t>
      </w:r>
      <w:r w:rsidRPr="00C72968">
        <w:rPr>
          <w:sz w:val="22"/>
          <w:szCs w:val="22"/>
        </w:rPr>
        <w:t>. Thousand Oaks, CA: Corwin Press.</w:t>
      </w:r>
    </w:p>
    <w:p w:rsidR="00C72968" w:rsidRPr="00C72968" w:rsidRDefault="00C72968" w:rsidP="00C72968">
      <w:pPr>
        <w:pStyle w:val="Footnote"/>
        <w:spacing w:before="0" w:beforeAutospacing="0" w:after="0" w:afterAutospacing="0"/>
        <w:ind w:left="547" w:hanging="547"/>
        <w:rPr>
          <w:rFonts w:ascii="Times New Roman" w:hAnsi="Times New Roman" w:cs="Times New Roman"/>
          <w:color w:val="212063"/>
          <w:sz w:val="22"/>
          <w:szCs w:val="22"/>
        </w:rPr>
      </w:pPr>
      <w:r w:rsidRPr="00C72968">
        <w:rPr>
          <w:rFonts w:ascii="Times New Roman" w:hAnsi="Times New Roman" w:cs="Times New Roman"/>
          <w:sz w:val="22"/>
          <w:szCs w:val="22"/>
        </w:rPr>
        <w:t xml:space="preserve">Palincsar, A.S., Magnusson, S.J., Collins, K.M., &amp; Cutter, J. (2001). Making science accessible to all: Results of a design experiment in inclusive classrooms. </w:t>
      </w:r>
      <w:r w:rsidRPr="00C72968">
        <w:rPr>
          <w:rFonts w:ascii="Times New Roman" w:hAnsi="Times New Roman" w:cs="Times New Roman"/>
          <w:i/>
          <w:sz w:val="22"/>
          <w:szCs w:val="22"/>
        </w:rPr>
        <w:t>Learning Disability Quarterly, 24,</w:t>
      </w:r>
      <w:r w:rsidRPr="00C72968">
        <w:rPr>
          <w:rFonts w:ascii="Times New Roman" w:hAnsi="Times New Roman" w:cs="Times New Roman"/>
          <w:sz w:val="22"/>
          <w:szCs w:val="22"/>
        </w:rPr>
        <w:t>(1),</w:t>
      </w:r>
      <w:r w:rsidRPr="00C729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72968">
        <w:rPr>
          <w:rFonts w:ascii="Times New Roman" w:hAnsi="Times New Roman" w:cs="Times New Roman"/>
          <w:sz w:val="22"/>
          <w:szCs w:val="22"/>
        </w:rPr>
        <w:t>15-32</w:t>
      </w:r>
      <w:r w:rsidR="003113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1727" w:rsidRDefault="00BA39AA" w:rsidP="00A71727">
      <w:pPr>
        <w:tabs>
          <w:tab w:val="left" w:pos="6750"/>
        </w:tabs>
        <w:ind w:left="547" w:right="-18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Peterson, M., Taylor, P. D. (2009). Whole schooling and reclaiming youth. </w:t>
      </w:r>
      <w:r w:rsidRPr="00C72968">
        <w:rPr>
          <w:i/>
          <w:sz w:val="22"/>
          <w:szCs w:val="22"/>
        </w:rPr>
        <w:t>Reclaiming Youth and Children, 18</w:t>
      </w:r>
      <w:r w:rsidRPr="00C72968">
        <w:rPr>
          <w:sz w:val="22"/>
          <w:szCs w:val="22"/>
        </w:rPr>
        <w:t>(3), 29-33.</w:t>
      </w:r>
    </w:p>
    <w:p w:rsidR="00A71727" w:rsidRDefault="00A71727" w:rsidP="00A71727">
      <w:pPr>
        <w:tabs>
          <w:tab w:val="left" w:pos="6750"/>
        </w:tabs>
        <w:ind w:left="547" w:right="-18" w:hanging="547"/>
        <w:rPr>
          <w:sz w:val="22"/>
          <w:szCs w:val="22"/>
        </w:rPr>
      </w:pPr>
      <w:r w:rsidRPr="00A71727">
        <w:rPr>
          <w:sz w:val="22"/>
          <w:szCs w:val="22"/>
        </w:rPr>
        <w:t xml:space="preserve">Rose, D.H. &amp; Meyer, A. (2006). </w:t>
      </w:r>
      <w:r w:rsidRPr="00A71727">
        <w:rPr>
          <w:i/>
          <w:sz w:val="22"/>
          <w:szCs w:val="22"/>
        </w:rPr>
        <w:t>A practical reader in universal design for learning</w:t>
      </w:r>
      <w:r>
        <w:rPr>
          <w:sz w:val="22"/>
          <w:szCs w:val="22"/>
        </w:rPr>
        <w:t>. Boston: Harvard Education</w:t>
      </w:r>
      <w:r w:rsidRPr="00A71727">
        <w:rPr>
          <w:sz w:val="22"/>
          <w:szCs w:val="22"/>
        </w:rPr>
        <w:t xml:space="preserve"> Press.</w:t>
      </w:r>
    </w:p>
    <w:p w:rsidR="00BA39AA" w:rsidRPr="00A71727" w:rsidRDefault="00BA39AA" w:rsidP="00A71727">
      <w:pPr>
        <w:tabs>
          <w:tab w:val="left" w:pos="6750"/>
        </w:tabs>
        <w:ind w:left="547" w:right="-18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Rose, D. H., &amp; Dolan, R. P. (2000). Universal design for learning. </w:t>
      </w:r>
      <w:r w:rsidRPr="00C72968">
        <w:rPr>
          <w:i/>
          <w:iCs/>
          <w:sz w:val="22"/>
          <w:szCs w:val="22"/>
        </w:rPr>
        <w:t>Journal of Special Education Technology</w:t>
      </w:r>
      <w:r w:rsidRPr="00C72968">
        <w:rPr>
          <w:sz w:val="22"/>
          <w:szCs w:val="22"/>
        </w:rPr>
        <w:t xml:space="preserve">, </w:t>
      </w:r>
      <w:r w:rsidRPr="00C72968">
        <w:rPr>
          <w:i/>
          <w:sz w:val="22"/>
          <w:szCs w:val="22"/>
        </w:rPr>
        <w:t>15</w:t>
      </w:r>
      <w:r w:rsidRPr="00C72968">
        <w:rPr>
          <w:sz w:val="22"/>
          <w:szCs w:val="22"/>
        </w:rPr>
        <w:t xml:space="preserve">(4). Retrieved from </w:t>
      </w:r>
      <w:hyperlink r:id="rId15" w:history="1">
        <w:r w:rsidRPr="00C72968">
          <w:rPr>
            <w:rStyle w:val="Hyperlink"/>
            <w:sz w:val="22"/>
            <w:szCs w:val="22"/>
          </w:rPr>
          <w:t>http://jset.unlv.edu/15.4/asseds/rose.html</w:t>
        </w:r>
      </w:hyperlink>
    </w:p>
    <w:p w:rsidR="00BA39AA" w:rsidRPr="00C72968" w:rsidRDefault="00BA39AA" w:rsidP="00C72968">
      <w:pPr>
        <w:tabs>
          <w:tab w:val="left" w:pos="6750"/>
        </w:tabs>
        <w:ind w:left="547" w:right="-18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Sobel, D. M., et al. (2003). Shared accountability: Encouraging diversity-responsive teaching in inclusive contexts. </w:t>
      </w:r>
      <w:r w:rsidRPr="00C72968">
        <w:rPr>
          <w:i/>
          <w:sz w:val="22"/>
          <w:szCs w:val="22"/>
        </w:rPr>
        <w:t>Teaching Exceptional Children, 35</w:t>
      </w:r>
      <w:r w:rsidRPr="00C72968">
        <w:rPr>
          <w:sz w:val="22"/>
          <w:szCs w:val="22"/>
        </w:rPr>
        <w:t>(6), 46-54.</w:t>
      </w:r>
    </w:p>
    <w:p w:rsidR="00BA39AA" w:rsidRPr="00C72968" w:rsidRDefault="00BA39AA" w:rsidP="00C72968">
      <w:pPr>
        <w:pStyle w:val="NormalWeb"/>
        <w:spacing w:before="0" w:beforeAutospacing="0" w:after="0" w:afterAutospacing="0"/>
        <w:ind w:left="547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Spinelli, C. G. (2002). </w:t>
      </w:r>
      <w:r w:rsidRPr="00C72968">
        <w:rPr>
          <w:i/>
          <w:iCs/>
          <w:sz w:val="22"/>
          <w:szCs w:val="22"/>
        </w:rPr>
        <w:t>Classroom assessment for students with special needs in inclusive settings.</w:t>
      </w:r>
      <w:r w:rsidRPr="00C72968">
        <w:rPr>
          <w:sz w:val="22"/>
          <w:szCs w:val="22"/>
        </w:rPr>
        <w:t xml:space="preserve"> Upper Saddle River, NJ: Merrill Prentice Hall.</w:t>
      </w:r>
    </w:p>
    <w:p w:rsidR="00BA39AA" w:rsidRPr="00C72968" w:rsidRDefault="00BA39AA" w:rsidP="00C72968">
      <w:pPr>
        <w:autoSpaceDE w:val="0"/>
        <w:autoSpaceDN w:val="0"/>
        <w:adjustRightInd w:val="0"/>
        <w:ind w:left="547" w:hanging="547"/>
        <w:rPr>
          <w:sz w:val="22"/>
          <w:szCs w:val="22"/>
        </w:rPr>
      </w:pPr>
      <w:r w:rsidRPr="00C72968">
        <w:rPr>
          <w:sz w:val="22"/>
          <w:szCs w:val="22"/>
        </w:rPr>
        <w:t>T</w:t>
      </w:r>
      <w:r w:rsidR="00AC02DD">
        <w:rPr>
          <w:sz w:val="22"/>
          <w:szCs w:val="22"/>
        </w:rPr>
        <w:t xml:space="preserve">housand, J. S., Villa, R. A, &amp; </w:t>
      </w:r>
      <w:r w:rsidRPr="00C72968">
        <w:rPr>
          <w:sz w:val="22"/>
          <w:szCs w:val="22"/>
        </w:rPr>
        <w:t xml:space="preserve">Nevin, A. I. (2007). </w:t>
      </w:r>
      <w:r w:rsidRPr="00C72968">
        <w:rPr>
          <w:i/>
          <w:sz w:val="22"/>
          <w:szCs w:val="22"/>
        </w:rPr>
        <w:t>Differentiating instruction: Collaborative planning and teaching for universally designed learning.</w:t>
      </w:r>
      <w:r w:rsidRPr="00C72968">
        <w:rPr>
          <w:sz w:val="22"/>
          <w:szCs w:val="22"/>
        </w:rPr>
        <w:t xml:space="preserve"> Thousand Oaks, CA: Corwin Press/Sage.  </w:t>
      </w:r>
    </w:p>
    <w:p w:rsidR="00BA39AA" w:rsidRDefault="00BA39AA" w:rsidP="00C72968">
      <w:pPr>
        <w:tabs>
          <w:tab w:val="left" w:pos="6750"/>
        </w:tabs>
        <w:ind w:left="547" w:right="-18" w:hanging="547"/>
        <w:rPr>
          <w:sz w:val="22"/>
          <w:szCs w:val="22"/>
        </w:rPr>
      </w:pPr>
      <w:r w:rsidRPr="00C72968">
        <w:rPr>
          <w:sz w:val="22"/>
          <w:szCs w:val="22"/>
        </w:rPr>
        <w:t xml:space="preserve">Villa, R.A. &amp; Thousand, J.S. (2003). Making inclusive education work. </w:t>
      </w:r>
      <w:r w:rsidRPr="00C72968">
        <w:rPr>
          <w:i/>
          <w:sz w:val="22"/>
          <w:szCs w:val="22"/>
        </w:rPr>
        <w:t>Educational Leadership, 61</w:t>
      </w:r>
      <w:r w:rsidRPr="00C72968">
        <w:rPr>
          <w:sz w:val="22"/>
          <w:szCs w:val="22"/>
        </w:rPr>
        <w:t>(2), 19-23.</w:t>
      </w:r>
    </w:p>
    <w:p w:rsidR="00C3114B" w:rsidRPr="00C72968" w:rsidRDefault="0031130B" w:rsidP="0053636F">
      <w:pPr>
        <w:tabs>
          <w:tab w:val="left" w:pos="6750"/>
        </w:tabs>
        <w:ind w:left="547" w:right="-18" w:hanging="547"/>
        <w:rPr>
          <w:sz w:val="22"/>
          <w:szCs w:val="22"/>
        </w:rPr>
      </w:pPr>
      <w:r>
        <w:rPr>
          <w:sz w:val="22"/>
          <w:szCs w:val="22"/>
        </w:rPr>
        <w:t xml:space="preserve">Villa, R.A., Thousand, J.S., &amp; Nevin, A.I. (2008). </w:t>
      </w:r>
      <w:r w:rsidRPr="0031130B">
        <w:rPr>
          <w:i/>
          <w:sz w:val="22"/>
          <w:szCs w:val="22"/>
        </w:rPr>
        <w:t>A guide to co-teaching.</w:t>
      </w:r>
      <w:r>
        <w:rPr>
          <w:sz w:val="22"/>
          <w:szCs w:val="22"/>
        </w:rPr>
        <w:t xml:space="preserve"> Thousand Oaks, CA: Corwin Press.</w:t>
      </w:r>
    </w:p>
    <w:sectPr w:rsidR="00C3114B" w:rsidRPr="00C72968" w:rsidSect="001B51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631"/>
    <w:multiLevelType w:val="hybridMultilevel"/>
    <w:tmpl w:val="459A8942"/>
    <w:lvl w:ilvl="0" w:tplc="262A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2939E">
      <w:start w:val="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8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0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8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B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A"/>
    <w:rsid w:val="000D6941"/>
    <w:rsid w:val="000E10FD"/>
    <w:rsid w:val="001B514B"/>
    <w:rsid w:val="002E169D"/>
    <w:rsid w:val="0031130B"/>
    <w:rsid w:val="00336C6A"/>
    <w:rsid w:val="00375C53"/>
    <w:rsid w:val="00405D97"/>
    <w:rsid w:val="004958EB"/>
    <w:rsid w:val="0053636F"/>
    <w:rsid w:val="00580A28"/>
    <w:rsid w:val="007318C1"/>
    <w:rsid w:val="0083760B"/>
    <w:rsid w:val="008A3734"/>
    <w:rsid w:val="009B36DF"/>
    <w:rsid w:val="009C1851"/>
    <w:rsid w:val="00A3637C"/>
    <w:rsid w:val="00A71727"/>
    <w:rsid w:val="00AC02DD"/>
    <w:rsid w:val="00BA39AA"/>
    <w:rsid w:val="00BD0EEF"/>
    <w:rsid w:val="00C3114B"/>
    <w:rsid w:val="00C54BD5"/>
    <w:rsid w:val="00C72968"/>
    <w:rsid w:val="00D75325"/>
    <w:rsid w:val="00DA7480"/>
    <w:rsid w:val="00DF262D"/>
    <w:rsid w:val="00E02256"/>
    <w:rsid w:val="00E80C6C"/>
    <w:rsid w:val="00E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A"/>
    <w:rPr>
      <w:rFonts w:eastAsia="Times New Roman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A71727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A717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9A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39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9AA"/>
    <w:rPr>
      <w:i/>
      <w:iCs/>
    </w:rPr>
  </w:style>
  <w:style w:type="paragraph" w:customStyle="1" w:styleId="Footnote">
    <w:name w:val="Footnote"/>
    <w:basedOn w:val="NormalWeb"/>
    <w:rsid w:val="00BA39AA"/>
    <w:pPr>
      <w:ind w:left="720" w:hanging="720"/>
    </w:pPr>
    <w:rPr>
      <w:rFonts w:ascii="Arial" w:hAnsi="Arial" w:cs="Arial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rsid w:val="00BA3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39AA"/>
    <w:rPr>
      <w:rFonts w:eastAsia="Times New Roman" w:cs="Times New Roman"/>
      <w:sz w:val="20"/>
      <w:szCs w:val="20"/>
    </w:rPr>
  </w:style>
  <w:style w:type="character" w:customStyle="1" w:styleId="au1">
    <w:name w:val="au1"/>
    <w:basedOn w:val="DefaultParagraphFont"/>
    <w:rsid w:val="00BA39AA"/>
    <w:rPr>
      <w:rFonts w:ascii="Arial Unicode MS" w:hAnsi="Arial Unicode MS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71727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1727"/>
    <w:rPr>
      <w:rFonts w:eastAsia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A"/>
    <w:rPr>
      <w:rFonts w:eastAsia="Times New Roman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A71727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A717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39A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39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9AA"/>
    <w:rPr>
      <w:i/>
      <w:iCs/>
    </w:rPr>
  </w:style>
  <w:style w:type="paragraph" w:customStyle="1" w:styleId="Footnote">
    <w:name w:val="Footnote"/>
    <w:basedOn w:val="NormalWeb"/>
    <w:rsid w:val="00BA39AA"/>
    <w:pPr>
      <w:ind w:left="720" w:hanging="720"/>
    </w:pPr>
    <w:rPr>
      <w:rFonts w:ascii="Arial" w:hAnsi="Arial" w:cs="Arial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rsid w:val="00BA3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39AA"/>
    <w:rPr>
      <w:rFonts w:eastAsia="Times New Roman" w:cs="Times New Roman"/>
      <w:sz w:val="20"/>
      <w:szCs w:val="20"/>
    </w:rPr>
  </w:style>
  <w:style w:type="character" w:customStyle="1" w:styleId="au1">
    <w:name w:val="au1"/>
    <w:basedOn w:val="DefaultParagraphFont"/>
    <w:rsid w:val="00BA39AA"/>
    <w:rPr>
      <w:rFonts w:ascii="Arial Unicode MS" w:hAnsi="Arial Unicode MS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71727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1727"/>
    <w:rPr>
      <w:rFonts w:eastAsia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6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center.org/" TargetMode="External"/><Relationship Id="rId13" Type="http://schemas.openxmlformats.org/officeDocument/2006/relationships/hyperlink" Target="http://www.udlcenter.org/sites/udlcenter.org/files/updateguidelines2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hd.umn.edu/nceo/OnlinePubs/MNmanuals/MNmanual.pdf" TargetMode="External"/><Relationship Id="rId12" Type="http://schemas.openxmlformats.org/officeDocument/2006/relationships/hyperlink" Target="http://aim.cast.org/learn/stakeholder_focused/teach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st.org/index.html" TargetMode="External"/><Relationship Id="rId11" Type="http://schemas.openxmlformats.org/officeDocument/2006/relationships/hyperlink" Target="http://education.state.mn.us/mdeprod/groups/Assessment/documents/Manual/03566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set.unlv.edu/15.4/asseds/rose.html" TargetMode="External"/><Relationship Id="rId10" Type="http://schemas.openxmlformats.org/officeDocument/2006/relationships/hyperlink" Target="http://www.cehd.umn.edu/NCEO/OnlinePubs/AccommodationsMonitor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m.cast.org/" TargetMode="External"/><Relationship Id="rId14" Type="http://schemas.openxmlformats.org/officeDocument/2006/relationships/hyperlink" Target="http://accessproject.colostate.edu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cssuser</cp:lastModifiedBy>
  <cp:revision>2</cp:revision>
  <cp:lastPrinted>2011-06-23T14:43:00Z</cp:lastPrinted>
  <dcterms:created xsi:type="dcterms:W3CDTF">2011-06-23T19:11:00Z</dcterms:created>
  <dcterms:modified xsi:type="dcterms:W3CDTF">2011-06-23T19:11:00Z</dcterms:modified>
</cp:coreProperties>
</file>